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kern w:val="2"/>
          <w:sz w:val="32"/>
          <w:szCs w:val="32"/>
          <w:lang w:val="en-US" w:eastAsia="zh-CN" w:bidi="ar-SA"/>
        </w:rPr>
        <w:t>医用耗材集中带量采购项目品牌遴选结果以公示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20" w:lineRule="exact"/>
        <w:textAlignment w:val="auto"/>
        <w:rPr>
          <w:rFonts w:hint="eastAsia"/>
          <w:lang w:val="en-US" w:eastAsia="zh-CN"/>
        </w:rPr>
      </w:pPr>
    </w:p>
    <w:tbl>
      <w:tblPr>
        <w:tblStyle w:val="5"/>
        <w:tblW w:w="896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775"/>
        <w:gridCol w:w="1170"/>
        <w:gridCol w:w="4275"/>
        <w:gridCol w:w="12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tblHeader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采购内容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企业账号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遴选结果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上海康德莱企业发展集团股份有限公司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圣光医用制品股份有限公司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上海凯乐输液器厂有限公司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沈阳市北华医材有限公司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山东侨牌集团有限公司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南阳市久康医疗器械有限公司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qy0062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江西瑞邦实业集团有限公司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qy0068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湖北仙明医疗器械有限公司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qy0071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河南曙光健士实业发展有限公司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山东侨牌集团有限公司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河南曙光汇知康生物科技股份有限公司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四川普瑞斯生物科技有限公司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山东侨牌集团有限公司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圣光医用制品股份有限公司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普多邦兴达（天津）医疗科技有限公司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武汉智迅创源科技发展股份有限公司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浙江伏尔特医疗器械股份有限公司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江苏苏云医疗器材有限公司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浙江灵洋医疗器械有限公司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河南曙光汇知康生物科技股份有限公司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南阳市久康医疗器械有限公司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莲花医疗用品有限公司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北京伏尔特技术有限公司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上海金塔医用器材有限公司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精密输液器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佛山特种医用导管有限责任公司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普多邦兴达（天津）医疗科技有限公司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浙江伏尔特医疗器械股份有限公司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北京伏尔特技术有限公司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上海金塔医用器材有限公司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上海康德莱企业发展集团股份有限公司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武汉智迅创源科技发展股份有限公司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避光精密输液器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qy0007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上海康德莱企业发展集团股份有限公司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武汉智迅创源科技发展股份有限公司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qy0023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上海正邦医疗科技有限公司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qy0029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江苏康进医疗器材有限公司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浙江伏尔特医疗器械股份有限公司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河南曙光汇知康生物科技股份有限公司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qy0045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江西三鑫医疗科技股份有限公司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北京伏尔特技术有限公司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qy0060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上海金塔医用器材有限公司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避光精密输液器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（带针）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江西洪达医疗器械集团有限公司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江西科伦医疗器械制造有限公司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qy0008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上海宝舜医疗器械有限公司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qy0011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佛山特种医用导管有限责任公司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山东新华安得医疗用品有限公司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预充式导管冲洗器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山东威高集团医用高分子制品股份有限公司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qy0005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广东艾希德药业有限公司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qy0012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江苏因倍思科技发展有限公司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qy0016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福州海王福药制药有限公司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qy0035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山东中保康医疗器具有限公司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qy0054</w:t>
            </w:r>
          </w:p>
        </w:tc>
        <w:tc>
          <w:tcPr>
            <w:tcW w:w="4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碧迪医疗器械（上海）有限公司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41" w:right="1531" w:bottom="2041" w:left="1531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宋体-GB13000">
    <w:panose1 w:val="02000500000000000000"/>
    <w:charset w:val="86"/>
    <w:family w:val="auto"/>
    <w:pitch w:val="default"/>
    <w:sig w:usb0="800002BF" w:usb1="18C77CF8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isplayHorizontalDrawingGridEvery w:val="1"/>
  <w:displayVerticalDrawingGridEvery w:val="1"/>
  <w:noPunctuationKerning w:val="true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NTgwMjMyNDFmNmIwMjEyYTRlMmY4ZjJhZjk5ZjcifQ=="/>
  </w:docVars>
  <w:rsids>
    <w:rsidRoot w:val="00000000"/>
    <w:rsid w:val="071F6257"/>
    <w:rsid w:val="09D54E25"/>
    <w:rsid w:val="20AA6908"/>
    <w:rsid w:val="6A2B181F"/>
    <w:rsid w:val="F96F080E"/>
    <w:rsid w:val="FEFAA9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3"/>
    <w:qFormat/>
    <w:uiPriority w:val="0"/>
    <w:pPr>
      <w:autoSpaceDE w:val="0"/>
      <w:autoSpaceDN w:val="0"/>
      <w:ind w:firstLine="632" w:firstLineChars="200"/>
      <w:jc w:val="left"/>
    </w:pPr>
    <w:rPr>
      <w:rFonts w:ascii="仿宋_GB2312" w:eastAsia="仿宋_GB2312"/>
      <w:sz w:val="32"/>
      <w:szCs w:val="32"/>
    </w:rPr>
  </w:style>
  <w:style w:type="paragraph" w:styleId="3">
    <w:name w:val="List Paragraph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font2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1897</Words>
  <Characters>2412</Characters>
  <TotalTime>3</TotalTime>
  <ScaleCrop>false</ScaleCrop>
  <LinksUpToDate>false</LinksUpToDate>
  <CharactersWithSpaces>2412</CharactersWithSpaces>
  <Application>WPS Office_11.8.2.10337_F1E327BC-269C-435d-A152-05C5408002CA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2022-06-25T01:14:00Z</dcterms:created>
  <dc:creator>殷久鹏</dc:creator>
  <cp:lastModifiedBy>thtf</cp:lastModifiedBy>
  <cp:lastPrinted>2022-06-25T02:38:00Z</cp:lastPrinted>
  <dcterms:modified xsi:type="dcterms:W3CDTF">2022-06-24T11:44:47Z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3F39DA574C1E40E48F26C54757E94159</vt:lpwstr>
  </property>
</Properties>
</file>